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6384" w14:textId="006FC746" w:rsidR="00D91C81" w:rsidRPr="002E572F" w:rsidRDefault="007A55BC" w:rsidP="002E572F">
      <w:pPr>
        <w:jc w:val="center"/>
        <w:rPr>
          <w:b/>
          <w:sz w:val="36"/>
        </w:rPr>
      </w:pPr>
      <w:r>
        <w:rPr>
          <w:b/>
          <w:sz w:val="36"/>
        </w:rPr>
        <w:t xml:space="preserve">Matériaux mésomorphes </w:t>
      </w:r>
      <w:proofErr w:type="spellStart"/>
      <w:r>
        <w:rPr>
          <w:b/>
          <w:sz w:val="36"/>
        </w:rPr>
        <w:t>photoactifs</w:t>
      </w:r>
      <w:proofErr w:type="spellEnd"/>
      <w:r>
        <w:rPr>
          <w:b/>
          <w:sz w:val="36"/>
        </w:rPr>
        <w:t xml:space="preserve"> organiques/inorganiques à base de </w:t>
      </w:r>
      <w:proofErr w:type="spellStart"/>
      <w:r>
        <w:rPr>
          <w:b/>
          <w:sz w:val="36"/>
        </w:rPr>
        <w:t>polyoxométallates</w:t>
      </w:r>
      <w:proofErr w:type="spellEnd"/>
      <w:r>
        <w:rPr>
          <w:b/>
          <w:sz w:val="36"/>
        </w:rPr>
        <w:t xml:space="preserve"> </w:t>
      </w:r>
      <w:r w:rsidR="00DC585C">
        <w:rPr>
          <w:b/>
          <w:sz w:val="36"/>
        </w:rPr>
        <w:t>pour applications photoniques</w:t>
      </w:r>
    </w:p>
    <w:p w14:paraId="05AB7BA6" w14:textId="62D62D88" w:rsidR="002E572F" w:rsidRPr="007A55BC" w:rsidRDefault="007A55BC" w:rsidP="002E572F">
      <w:pPr>
        <w:spacing w:after="0"/>
        <w:jc w:val="center"/>
        <w:rPr>
          <w:sz w:val="24"/>
          <w:lang w:val="en-US"/>
        </w:rPr>
      </w:pPr>
      <w:r w:rsidRPr="007A55BC">
        <w:rPr>
          <w:sz w:val="24"/>
          <w:u w:val="single"/>
          <w:lang w:val="en-US"/>
        </w:rPr>
        <w:t>Guillaume Izzet</w:t>
      </w:r>
      <w:r w:rsidRPr="007A55BC">
        <w:rPr>
          <w:sz w:val="24"/>
          <w:lang w:val="en-US"/>
        </w:rPr>
        <w:t>,</w:t>
      </w:r>
      <w:r w:rsidRPr="007A55BC">
        <w:rPr>
          <w:sz w:val="24"/>
          <w:vertAlign w:val="superscript"/>
          <w:lang w:val="en-US"/>
        </w:rPr>
        <w:t>1</w:t>
      </w:r>
      <w:r w:rsidR="00DC585C">
        <w:rPr>
          <w:sz w:val="24"/>
          <w:vertAlign w:val="superscript"/>
          <w:lang w:val="en-US"/>
        </w:rPr>
        <w:t>*</w:t>
      </w:r>
      <w:r w:rsidRPr="007A55BC">
        <w:rPr>
          <w:sz w:val="24"/>
          <w:lang w:val="en-US"/>
        </w:rPr>
        <w:t xml:space="preserve"> Kevin Mall Haidaraly,</w:t>
      </w:r>
      <w:r w:rsidRPr="007A55BC">
        <w:rPr>
          <w:sz w:val="24"/>
          <w:vertAlign w:val="superscript"/>
          <w:lang w:val="en-US"/>
        </w:rPr>
        <w:t>1</w:t>
      </w:r>
      <w:r w:rsidRPr="007A55BC">
        <w:rPr>
          <w:sz w:val="24"/>
          <w:lang w:val="en-US"/>
        </w:rPr>
        <w:t xml:space="preserve"> Fabrice Mathevet</w:t>
      </w:r>
      <w:r>
        <w:rPr>
          <w:sz w:val="24"/>
          <w:vertAlign w:val="superscript"/>
          <w:lang w:val="en-US"/>
        </w:rPr>
        <w:t>1</w:t>
      </w:r>
    </w:p>
    <w:p w14:paraId="3A5BE59A" w14:textId="77777777" w:rsidR="00DC585C" w:rsidRPr="00DC585C" w:rsidRDefault="00DC585C" w:rsidP="002E572F">
      <w:pPr>
        <w:spacing w:after="0" w:line="240" w:lineRule="auto"/>
        <w:jc w:val="center"/>
        <w:rPr>
          <w:i/>
          <w:color w:val="0070C0"/>
          <w:sz w:val="24"/>
          <w:lang w:val="en-US"/>
        </w:rPr>
      </w:pPr>
    </w:p>
    <w:p w14:paraId="22BA30E6" w14:textId="04DF8EFD" w:rsidR="00DC585C" w:rsidRDefault="002E572F" w:rsidP="001F74FE">
      <w:pPr>
        <w:spacing w:after="0"/>
        <w:jc w:val="center"/>
        <w:rPr>
          <w:i/>
        </w:rPr>
      </w:pPr>
      <w:r w:rsidRPr="002E572F">
        <w:rPr>
          <w:i/>
          <w:vertAlign w:val="superscript"/>
        </w:rPr>
        <w:t>1</w:t>
      </w:r>
      <w:r w:rsidRPr="002E572F">
        <w:rPr>
          <w:i/>
        </w:rPr>
        <w:t xml:space="preserve"> </w:t>
      </w:r>
      <w:r w:rsidR="00DC585C" w:rsidRPr="00DC585C">
        <w:rPr>
          <w:i/>
        </w:rPr>
        <w:t>Sorbonne Universit</w:t>
      </w:r>
      <w:r w:rsidR="00DC585C">
        <w:rPr>
          <w:i/>
        </w:rPr>
        <w:t>é</w:t>
      </w:r>
      <w:r w:rsidR="00DC585C" w:rsidRPr="00DC585C">
        <w:rPr>
          <w:i/>
        </w:rPr>
        <w:t>, CNRS,</w:t>
      </w:r>
      <w:r w:rsidR="00DC585C">
        <w:rPr>
          <w:i/>
        </w:rPr>
        <w:t xml:space="preserve"> </w:t>
      </w:r>
      <w:r w:rsidR="00DC585C" w:rsidRPr="00DC585C">
        <w:rPr>
          <w:i/>
        </w:rPr>
        <w:t>Institut Parisien de Chimie Mol</w:t>
      </w:r>
      <w:r w:rsidR="00DC585C">
        <w:rPr>
          <w:i/>
        </w:rPr>
        <w:t>é</w:t>
      </w:r>
      <w:r w:rsidR="00DC585C" w:rsidRPr="00DC585C">
        <w:rPr>
          <w:i/>
        </w:rPr>
        <w:t>culaire, IPCM</w:t>
      </w:r>
      <w:r w:rsidR="00DC585C">
        <w:rPr>
          <w:i/>
        </w:rPr>
        <w:t xml:space="preserve">, </w:t>
      </w:r>
      <w:r w:rsidR="00DC585C" w:rsidRPr="00DC585C">
        <w:rPr>
          <w:i/>
        </w:rPr>
        <w:t>4 Place Jussieu, 75005 Paris (France)</w:t>
      </w:r>
    </w:p>
    <w:p w14:paraId="405E76E4" w14:textId="077CB933" w:rsidR="002E572F" w:rsidRDefault="00DC585C" w:rsidP="002E572F">
      <w:pPr>
        <w:jc w:val="center"/>
      </w:pPr>
      <w:r>
        <w:t>guillaume.izzet@sorbonne-universite.fr</w:t>
      </w:r>
    </w:p>
    <w:p w14:paraId="0303D27D" w14:textId="77777777" w:rsidR="002E572F" w:rsidRDefault="002E572F" w:rsidP="002E572F"/>
    <w:p w14:paraId="16E73BB7" w14:textId="16F70043" w:rsidR="007A55BC" w:rsidRDefault="007A55BC" w:rsidP="00B853CB">
      <w:pPr>
        <w:ind w:firstLine="708"/>
        <w:jc w:val="both"/>
      </w:pPr>
      <w:r w:rsidRPr="007A55BC">
        <w:t xml:space="preserve">Les cristaux liquides aux </w:t>
      </w:r>
      <w:proofErr w:type="spellStart"/>
      <w:r w:rsidRPr="007A55BC">
        <w:t>propriétés</w:t>
      </w:r>
      <w:proofErr w:type="spellEnd"/>
      <w:r w:rsidRPr="007A55BC">
        <w:t xml:space="preserve"> semi-conductrices attirent une attention croissante en photonique moléculaire</w:t>
      </w:r>
      <w:r w:rsidR="006548DB">
        <w:t>.</w:t>
      </w:r>
      <w:r w:rsidR="000F6D27" w:rsidRPr="000F6D27">
        <w:rPr>
          <w:rFonts w:ascii="Calibri" w:cs="Calibri"/>
          <w:vertAlign w:val="superscript"/>
        </w:rPr>
        <w:t>[1][2]</w:t>
      </w:r>
      <w:r w:rsidRPr="007A55BC">
        <w:t xml:space="preserve"> L'assemblage de donneurs et d’accepteurs d’</w:t>
      </w:r>
      <w:proofErr w:type="spellStart"/>
      <w:r w:rsidRPr="007A55BC">
        <w:t>électrons</w:t>
      </w:r>
      <w:proofErr w:type="spellEnd"/>
      <w:r w:rsidRPr="007A55BC">
        <w:t xml:space="preserve"> dans des architectures </w:t>
      </w:r>
      <w:proofErr w:type="spellStart"/>
      <w:r w:rsidRPr="007A55BC">
        <w:t>moléculaires</w:t>
      </w:r>
      <w:proofErr w:type="spellEnd"/>
      <w:r w:rsidRPr="007A55BC">
        <w:t xml:space="preserve"> </w:t>
      </w:r>
      <w:proofErr w:type="spellStart"/>
      <w:r w:rsidRPr="007A55BC">
        <w:t>organisées</w:t>
      </w:r>
      <w:proofErr w:type="spellEnd"/>
      <w:r w:rsidRPr="007A55BC">
        <w:t xml:space="preserve"> </w:t>
      </w:r>
      <w:proofErr w:type="spellStart"/>
      <w:r w:rsidRPr="007A55BC">
        <w:t>apparaît</w:t>
      </w:r>
      <w:proofErr w:type="spellEnd"/>
      <w:r w:rsidR="00DC585C">
        <w:t xml:space="preserve"> </w:t>
      </w:r>
      <w:r w:rsidRPr="007A55BC">
        <w:t xml:space="preserve">comme une voie prometteuse du fait de </w:t>
      </w:r>
      <w:r w:rsidRPr="002341A4">
        <w:t xml:space="preserve">l'existence de voies de percolation </w:t>
      </w:r>
      <w:r w:rsidRPr="007A55BC">
        <w:t xml:space="preserve">spécifiques </w:t>
      </w:r>
      <w:r w:rsidRPr="002341A4">
        <w:t xml:space="preserve">pour les trous et les électrons via la formation de </w:t>
      </w:r>
      <w:r w:rsidRPr="007A55BC">
        <w:t>sous-domaines</w:t>
      </w:r>
      <w:r w:rsidRPr="002341A4">
        <w:t xml:space="preserve"> nano</w:t>
      </w:r>
      <w:r w:rsidRPr="007A55BC">
        <w:t>-</w:t>
      </w:r>
      <w:r w:rsidRPr="002341A4">
        <w:t>ségrégé</w:t>
      </w:r>
      <w:r w:rsidRPr="007A55BC">
        <w:t>s</w:t>
      </w:r>
      <w:r w:rsidR="008C54A9">
        <w:t>.</w:t>
      </w:r>
      <w:r w:rsidRPr="007A55BC">
        <w:t xml:space="preserve"> </w:t>
      </w:r>
      <w:r w:rsidRPr="002341A4">
        <w:t xml:space="preserve">Dans ce contexte, nous avons récemment </w:t>
      </w:r>
      <w:r w:rsidRPr="007A55BC">
        <w:t>d</w:t>
      </w:r>
      <w:r w:rsidR="00DC585C">
        <w:t>é</w:t>
      </w:r>
      <w:r w:rsidRPr="007A55BC">
        <w:t>crit</w:t>
      </w:r>
      <w:r w:rsidRPr="002341A4">
        <w:t xml:space="preserve"> la synthèse du premier hybride </w:t>
      </w:r>
      <w:proofErr w:type="spellStart"/>
      <w:r w:rsidRPr="002341A4">
        <w:t>mésogène</w:t>
      </w:r>
      <w:proofErr w:type="spellEnd"/>
      <w:r w:rsidRPr="002341A4">
        <w:t xml:space="preserve"> </w:t>
      </w:r>
      <w:r w:rsidR="00D141EA">
        <w:t>donneur-accepteur</w:t>
      </w:r>
      <w:r w:rsidRPr="002341A4">
        <w:t xml:space="preserve"> à base de </w:t>
      </w:r>
      <w:proofErr w:type="spellStart"/>
      <w:r w:rsidRPr="007A55BC">
        <w:t>polyoxométalates</w:t>
      </w:r>
      <w:proofErr w:type="spellEnd"/>
      <w:r w:rsidRPr="007A55BC">
        <w:t xml:space="preserve"> (</w:t>
      </w:r>
      <w:proofErr w:type="spellStart"/>
      <w:r w:rsidRPr="007A55BC">
        <w:t>POMs</w:t>
      </w:r>
      <w:proofErr w:type="spellEnd"/>
      <w:r w:rsidRPr="007A55BC">
        <w:t>).</w:t>
      </w:r>
      <w:r w:rsidR="000F6D27" w:rsidRPr="000F6D27">
        <w:rPr>
          <w:rFonts w:ascii="Calibri" w:cs="Calibri"/>
          <w:vertAlign w:val="superscript"/>
        </w:rPr>
        <w:t>[3]</w:t>
      </w:r>
      <w:r w:rsidRPr="007A55BC">
        <w:t xml:space="preserve"> Les </w:t>
      </w:r>
      <w:proofErr w:type="spellStart"/>
      <w:r w:rsidRPr="007A55BC">
        <w:t>POMs</w:t>
      </w:r>
      <w:proofErr w:type="spellEnd"/>
      <w:r w:rsidRPr="007A55BC">
        <w:t xml:space="preserve"> sont des </w:t>
      </w:r>
      <w:proofErr w:type="spellStart"/>
      <w:r w:rsidRPr="007A55BC">
        <w:t>oxoclusters</w:t>
      </w:r>
      <w:proofErr w:type="spellEnd"/>
      <w:r w:rsidRPr="007A55BC">
        <w:t xml:space="preserve"> moléculaires </w:t>
      </w:r>
      <w:r w:rsidR="006548DB">
        <w:t>dont les</w:t>
      </w:r>
      <w:r w:rsidRPr="007A55BC">
        <w:t xml:space="preserve"> remarquables propriétés de réservoirs d’électrons</w:t>
      </w:r>
      <w:r w:rsidR="00420FF9">
        <w:t xml:space="preserve"> suscitent un intérêt certain dans le domaine de la conversion de l’énergie.</w:t>
      </w:r>
      <w:r w:rsidR="000F6D27" w:rsidRPr="000F6D27">
        <w:rPr>
          <w:rFonts w:ascii="Calibri" w:cs="Calibri"/>
          <w:vertAlign w:val="superscript"/>
        </w:rPr>
        <w:t>[4][5]</w:t>
      </w:r>
      <w:r w:rsidR="00B853CB">
        <w:t xml:space="preserve"> </w:t>
      </w:r>
      <w:r w:rsidRPr="007A55BC">
        <w:t xml:space="preserve">Le </w:t>
      </w:r>
      <w:proofErr w:type="spellStart"/>
      <w:r w:rsidRPr="007A55BC">
        <w:t>caractère</w:t>
      </w:r>
      <w:proofErr w:type="spellEnd"/>
      <w:r w:rsidRPr="007A55BC">
        <w:t xml:space="preserve"> antagoniste du POM (</w:t>
      </w:r>
      <w:proofErr w:type="spellStart"/>
      <w:r w:rsidRPr="007A55BC">
        <w:t>polyanionique</w:t>
      </w:r>
      <w:proofErr w:type="spellEnd"/>
      <w:r w:rsidRPr="007A55BC">
        <w:t xml:space="preserve">) et du donneur organique (hydrophobe) conduit </w:t>
      </w:r>
      <w:proofErr w:type="spellStart"/>
      <w:r w:rsidRPr="007A55BC">
        <w:t>a</w:t>
      </w:r>
      <w:proofErr w:type="spellEnd"/>
      <w:r w:rsidRPr="007A55BC">
        <w:t xml:space="preserve">̀ une </w:t>
      </w:r>
      <w:proofErr w:type="spellStart"/>
      <w:r w:rsidRPr="007A55BC">
        <w:t>nanoségrégation</w:t>
      </w:r>
      <w:proofErr w:type="spellEnd"/>
      <w:r w:rsidRPr="007A55BC">
        <w:t xml:space="preserve"> des </w:t>
      </w:r>
      <w:proofErr w:type="spellStart"/>
      <w:r w:rsidRPr="007A55BC">
        <w:t>unités</w:t>
      </w:r>
      <w:proofErr w:type="spellEnd"/>
      <w:r w:rsidRPr="007A55BC">
        <w:t xml:space="preserve"> donneuses et </w:t>
      </w:r>
      <w:proofErr w:type="spellStart"/>
      <w:r w:rsidRPr="007A55BC">
        <w:t>acceptrices</w:t>
      </w:r>
      <w:proofErr w:type="spellEnd"/>
      <w:r w:rsidRPr="007A55BC">
        <w:t xml:space="preserve"> qui devrait favoriser le transport de charges et </w:t>
      </w:r>
      <w:proofErr w:type="spellStart"/>
      <w:r w:rsidRPr="007A55BC">
        <w:t>améliorer</w:t>
      </w:r>
      <w:proofErr w:type="spellEnd"/>
      <w:r w:rsidRPr="007A55BC">
        <w:t xml:space="preserve"> ainsi leur performance </w:t>
      </w:r>
      <w:proofErr w:type="spellStart"/>
      <w:r w:rsidRPr="007A55BC">
        <w:t>photophysique</w:t>
      </w:r>
      <w:proofErr w:type="spellEnd"/>
      <w:r w:rsidRPr="007A55BC">
        <w:t>. Au cours de</w:t>
      </w:r>
      <w:r w:rsidRPr="002341A4">
        <w:t xml:space="preserve"> cette présentation</w:t>
      </w:r>
      <w:r w:rsidR="006548DB">
        <w:t>,</w:t>
      </w:r>
      <w:r w:rsidRPr="002341A4">
        <w:t xml:space="preserve"> nous </w:t>
      </w:r>
      <w:r w:rsidRPr="007A55BC">
        <w:t>détaillerons</w:t>
      </w:r>
      <w:r w:rsidRPr="002341A4">
        <w:t xml:space="preserve">, la stratégie de synthèse des </w:t>
      </w:r>
      <w:r w:rsidRPr="007A55BC">
        <w:t xml:space="preserve">premiers hybrides développés </w:t>
      </w:r>
      <w:r w:rsidRPr="002341A4">
        <w:t xml:space="preserve">ainsi que leur caractérisation structurale </w:t>
      </w:r>
      <w:r w:rsidRPr="007A55BC">
        <w:t>à</w:t>
      </w:r>
      <w:r w:rsidRPr="002341A4">
        <w:t xml:space="preserve"> l'état solide </w:t>
      </w:r>
      <w:r w:rsidRPr="007A55BC">
        <w:t>et</w:t>
      </w:r>
      <w:r w:rsidRPr="002341A4">
        <w:t xml:space="preserve"> le</w:t>
      </w:r>
      <w:r w:rsidRPr="007A55BC">
        <w:t>ur</w:t>
      </w:r>
      <w:r w:rsidRPr="002341A4">
        <w:t xml:space="preserve"> étude </w:t>
      </w:r>
      <w:proofErr w:type="spellStart"/>
      <w:r w:rsidRPr="002341A4">
        <w:t>photophysique</w:t>
      </w:r>
      <w:proofErr w:type="spellEnd"/>
      <w:r w:rsidRPr="002341A4">
        <w:t>.</w:t>
      </w:r>
    </w:p>
    <w:p w14:paraId="286EF128" w14:textId="0C4665C6" w:rsidR="007A55BC" w:rsidRDefault="001F74FE" w:rsidP="001F74FE">
      <w:pPr>
        <w:jc w:val="center"/>
      </w:pPr>
      <w:r>
        <w:rPr>
          <w:noProof/>
        </w:rPr>
        <w:drawing>
          <wp:inline distT="0" distB="0" distL="0" distR="0" wp14:anchorId="54899F4E" wp14:editId="78BA393B">
            <wp:extent cx="5508587" cy="142371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31" r="24731" b="16731"/>
                    <a:stretch/>
                  </pic:blipFill>
                  <pic:spPr bwMode="auto">
                    <a:xfrm>
                      <a:off x="0" y="0"/>
                      <a:ext cx="5718087" cy="1477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6F085" w14:textId="7436851C" w:rsidR="001F74FE" w:rsidRPr="001F74FE" w:rsidRDefault="001F74FE" w:rsidP="001F74FE">
      <w:pPr>
        <w:jc w:val="center"/>
      </w:pPr>
      <w:r>
        <w:t xml:space="preserve">Hybride POM </w:t>
      </w:r>
      <w:proofErr w:type="spellStart"/>
      <w:r>
        <w:t>mésogène</w:t>
      </w:r>
      <w:proofErr w:type="spellEnd"/>
      <w:r w:rsidRPr="001F74FE">
        <w:t xml:space="preserve"> et de </w:t>
      </w:r>
      <w:r>
        <w:t>son</w:t>
      </w:r>
      <w:r w:rsidRPr="001F74FE">
        <w:t xml:space="preserve"> auto-</w:t>
      </w:r>
      <w:r>
        <w:t>organisation</w:t>
      </w:r>
      <w:r w:rsidRPr="001F74FE">
        <w:t xml:space="preserve"> en nanostructures </w:t>
      </w:r>
      <w:proofErr w:type="spellStart"/>
      <w:r w:rsidRPr="001F74FE">
        <w:t>multilamellaires</w:t>
      </w:r>
      <w:proofErr w:type="spellEnd"/>
      <w:r w:rsidRPr="001F74FE">
        <w:t>.</w:t>
      </w:r>
    </w:p>
    <w:p w14:paraId="6DA78D2D" w14:textId="7C05FC33" w:rsidR="00BA0B0F" w:rsidRPr="00BA0B0F" w:rsidRDefault="00BA0B0F" w:rsidP="00EC19B8">
      <w:pPr>
        <w:spacing w:after="0" w:line="240" w:lineRule="auto"/>
        <w:jc w:val="both"/>
      </w:pPr>
      <w:r w:rsidRPr="00BA0B0F">
        <w:rPr>
          <w:b/>
        </w:rPr>
        <w:t>Références</w:t>
      </w:r>
    </w:p>
    <w:p w14:paraId="200305B0" w14:textId="641AAAB1" w:rsidR="00797085" w:rsidRPr="00797085" w:rsidRDefault="00797085" w:rsidP="00797085">
      <w:pPr>
        <w:pStyle w:val="Bibliography"/>
        <w:rPr>
          <w:rFonts w:ascii="Calibri" w:cs="Calibri"/>
          <w:b w:val="0"/>
          <w:bCs/>
          <w:lang w:val="en-US"/>
        </w:rPr>
      </w:pPr>
      <w:r w:rsidRPr="00797085">
        <w:rPr>
          <w:rFonts w:ascii="Calibri" w:cs="Calibri"/>
          <w:b w:val="0"/>
          <w:bCs/>
          <w:lang w:val="en-US"/>
        </w:rPr>
        <w:t>[1]</w:t>
      </w:r>
      <w:r w:rsidRPr="00797085">
        <w:rPr>
          <w:rFonts w:ascii="Calibri" w:cs="Calibri"/>
          <w:b w:val="0"/>
          <w:bCs/>
          <w:lang w:val="en-US"/>
        </w:rPr>
        <w:tab/>
        <w:t xml:space="preserve">E.-K. Fleischmann, R. </w:t>
      </w:r>
      <w:proofErr w:type="spellStart"/>
      <w:r w:rsidRPr="00797085">
        <w:rPr>
          <w:rFonts w:ascii="Calibri" w:cs="Calibri"/>
          <w:b w:val="0"/>
          <w:bCs/>
          <w:lang w:val="en-US"/>
        </w:rPr>
        <w:t>Zentel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</w:t>
      </w:r>
      <w:proofErr w:type="spellStart"/>
      <w:r w:rsidRPr="00797085">
        <w:rPr>
          <w:rFonts w:ascii="Calibri" w:cs="Calibri"/>
          <w:b w:val="0"/>
          <w:bCs/>
          <w:i/>
          <w:iCs/>
          <w:lang w:val="en-US"/>
        </w:rPr>
        <w:t>Angew</w:t>
      </w:r>
      <w:proofErr w:type="spellEnd"/>
      <w:r w:rsidRPr="00797085">
        <w:rPr>
          <w:rFonts w:ascii="Calibri" w:cs="Calibri"/>
          <w:b w:val="0"/>
          <w:bCs/>
          <w:i/>
          <w:iCs/>
          <w:lang w:val="en-US"/>
        </w:rPr>
        <w:t>. Chem. Int. Ed.</w:t>
      </w:r>
      <w:r w:rsidRPr="00797085">
        <w:rPr>
          <w:rFonts w:ascii="Calibri" w:cs="Calibri"/>
          <w:b w:val="0"/>
          <w:bCs/>
          <w:lang w:val="en-US"/>
        </w:rPr>
        <w:t xml:space="preserve"> </w:t>
      </w:r>
      <w:r w:rsidRPr="00797085">
        <w:rPr>
          <w:rFonts w:ascii="Calibri" w:cs="Calibri"/>
          <w:lang w:val="en-US"/>
        </w:rPr>
        <w:t>52</w:t>
      </w:r>
      <w:r>
        <w:rPr>
          <w:rFonts w:ascii="Calibri" w:cs="Calibri"/>
          <w:b w:val="0"/>
          <w:bCs/>
          <w:lang w:val="en-US"/>
        </w:rPr>
        <w:t xml:space="preserve"> (</w:t>
      </w:r>
      <w:r w:rsidRPr="00797085">
        <w:rPr>
          <w:rFonts w:ascii="Calibri" w:cs="Calibri"/>
          <w:b w:val="0"/>
          <w:bCs/>
          <w:lang w:val="en-US"/>
        </w:rPr>
        <w:t>2013</w:t>
      </w:r>
      <w:r>
        <w:rPr>
          <w:rFonts w:ascii="Calibri" w:cs="Calibri"/>
          <w:b w:val="0"/>
          <w:bCs/>
          <w:lang w:val="en-US"/>
        </w:rPr>
        <w:t>)</w:t>
      </w:r>
      <w:r w:rsidRPr="00797085">
        <w:rPr>
          <w:rFonts w:ascii="Calibri" w:cs="Calibri"/>
          <w:b w:val="0"/>
          <w:bCs/>
          <w:lang w:val="en-US"/>
        </w:rPr>
        <w:t xml:space="preserve"> 8810–8827</w:t>
      </w:r>
    </w:p>
    <w:p w14:paraId="2EFDFC64" w14:textId="441531A5" w:rsidR="00797085" w:rsidRPr="00797085" w:rsidRDefault="00797085" w:rsidP="00797085">
      <w:pPr>
        <w:pStyle w:val="Bibliography"/>
        <w:rPr>
          <w:rFonts w:ascii="Calibri" w:cs="Calibri"/>
          <w:b w:val="0"/>
          <w:bCs/>
          <w:lang w:val="en-US"/>
        </w:rPr>
      </w:pPr>
      <w:r w:rsidRPr="00797085">
        <w:rPr>
          <w:rFonts w:ascii="Calibri" w:cs="Calibri"/>
          <w:b w:val="0"/>
          <w:bCs/>
          <w:lang w:val="en-US"/>
        </w:rPr>
        <w:t>[2]</w:t>
      </w:r>
      <w:r w:rsidRPr="00797085">
        <w:rPr>
          <w:rFonts w:ascii="Calibri" w:cs="Calibri"/>
          <w:b w:val="0"/>
          <w:bCs/>
          <w:lang w:val="en-US"/>
        </w:rPr>
        <w:tab/>
        <w:t xml:space="preserve">H. Iino, T. Usui, J. Hanna, </w:t>
      </w:r>
      <w:r w:rsidRPr="00797085">
        <w:rPr>
          <w:rFonts w:ascii="Calibri" w:cs="Calibri"/>
          <w:b w:val="0"/>
          <w:bCs/>
          <w:i/>
          <w:iCs/>
          <w:lang w:val="en-US"/>
        </w:rPr>
        <w:t>Nat. Chem.</w:t>
      </w:r>
      <w:r w:rsidRPr="00797085">
        <w:rPr>
          <w:rFonts w:ascii="Calibri" w:cs="Calibri"/>
          <w:b w:val="0"/>
          <w:bCs/>
          <w:lang w:val="en-US"/>
        </w:rPr>
        <w:t xml:space="preserve"> </w:t>
      </w:r>
      <w:r w:rsidRPr="003919CB">
        <w:rPr>
          <w:rFonts w:ascii="Calibri" w:cs="Calibri"/>
          <w:lang w:val="en-US"/>
        </w:rPr>
        <w:t>6</w:t>
      </w:r>
      <w:r>
        <w:rPr>
          <w:rFonts w:ascii="Calibri" w:cs="Calibri"/>
          <w:b w:val="0"/>
          <w:bCs/>
          <w:lang w:val="en-US"/>
        </w:rPr>
        <w:t xml:space="preserve"> (</w:t>
      </w:r>
      <w:r w:rsidRPr="00797085">
        <w:rPr>
          <w:rFonts w:ascii="Calibri" w:cs="Calibri"/>
          <w:b w:val="0"/>
          <w:bCs/>
          <w:lang w:val="en-US"/>
        </w:rPr>
        <w:t>2015</w:t>
      </w:r>
      <w:r>
        <w:rPr>
          <w:rFonts w:ascii="Calibri" w:cs="Calibri"/>
          <w:b w:val="0"/>
          <w:bCs/>
          <w:lang w:val="en-US"/>
        </w:rPr>
        <w:t>)</w:t>
      </w:r>
      <w:r w:rsidRPr="00797085">
        <w:rPr>
          <w:rFonts w:ascii="Calibri" w:cs="Calibri"/>
          <w:b w:val="0"/>
          <w:bCs/>
          <w:lang w:val="en-US"/>
        </w:rPr>
        <w:t xml:space="preserve"> 6828</w:t>
      </w:r>
    </w:p>
    <w:p w14:paraId="60C85ECB" w14:textId="2A0CB1FE" w:rsidR="00797085" w:rsidRPr="00797085" w:rsidRDefault="00797085" w:rsidP="00797085">
      <w:pPr>
        <w:pStyle w:val="Bibliography"/>
        <w:rPr>
          <w:rFonts w:ascii="Calibri" w:cs="Calibri"/>
          <w:b w:val="0"/>
          <w:bCs/>
          <w:lang w:val="en-US"/>
        </w:rPr>
      </w:pPr>
      <w:r w:rsidRPr="00797085">
        <w:rPr>
          <w:rFonts w:ascii="Calibri" w:cs="Calibri"/>
          <w:b w:val="0"/>
          <w:bCs/>
          <w:lang w:val="en-US"/>
        </w:rPr>
        <w:t>[3]</w:t>
      </w:r>
      <w:r w:rsidRPr="00797085">
        <w:rPr>
          <w:rFonts w:ascii="Calibri" w:cs="Calibri"/>
          <w:b w:val="0"/>
          <w:bCs/>
          <w:lang w:val="en-US"/>
        </w:rPr>
        <w:tab/>
        <w:t xml:space="preserve">X. Zhu, C. </w:t>
      </w:r>
      <w:proofErr w:type="spellStart"/>
      <w:r w:rsidRPr="00797085">
        <w:rPr>
          <w:rFonts w:ascii="Calibri" w:cs="Calibri"/>
          <w:b w:val="0"/>
          <w:bCs/>
          <w:lang w:val="en-US"/>
        </w:rPr>
        <w:t>Hessin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A. </w:t>
      </w:r>
      <w:proofErr w:type="spellStart"/>
      <w:r w:rsidRPr="00797085">
        <w:rPr>
          <w:rFonts w:ascii="Calibri" w:cs="Calibri"/>
          <w:b w:val="0"/>
          <w:bCs/>
          <w:lang w:val="en-US"/>
        </w:rPr>
        <w:t>Salame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L. Sosa-Vargas, D. Kreher, C. Adachi, A. Proust, P. </w:t>
      </w:r>
      <w:proofErr w:type="spellStart"/>
      <w:r w:rsidRPr="00797085">
        <w:rPr>
          <w:rFonts w:ascii="Calibri" w:cs="Calibri"/>
          <w:b w:val="0"/>
          <w:bCs/>
          <w:lang w:val="en-US"/>
        </w:rPr>
        <w:t>Mialane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J. </w:t>
      </w:r>
      <w:proofErr w:type="spellStart"/>
      <w:r w:rsidRPr="00797085">
        <w:rPr>
          <w:rFonts w:ascii="Calibri" w:cs="Calibri"/>
          <w:b w:val="0"/>
          <w:bCs/>
          <w:lang w:val="en-US"/>
        </w:rPr>
        <w:t>Marrot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A. </w:t>
      </w:r>
      <w:proofErr w:type="spellStart"/>
      <w:r w:rsidRPr="00797085">
        <w:rPr>
          <w:rFonts w:ascii="Calibri" w:cs="Calibri"/>
          <w:b w:val="0"/>
          <w:bCs/>
          <w:lang w:val="en-US"/>
        </w:rPr>
        <w:t>Bouchet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M. </w:t>
      </w:r>
      <w:proofErr w:type="spellStart"/>
      <w:r w:rsidRPr="00797085">
        <w:rPr>
          <w:rFonts w:ascii="Calibri" w:cs="Calibri"/>
          <w:b w:val="0"/>
          <w:bCs/>
          <w:lang w:val="en-US"/>
        </w:rPr>
        <w:t>Sliwa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S. </w:t>
      </w:r>
      <w:proofErr w:type="spellStart"/>
      <w:r w:rsidRPr="00797085">
        <w:rPr>
          <w:rFonts w:ascii="Calibri" w:cs="Calibri"/>
          <w:b w:val="0"/>
          <w:bCs/>
          <w:lang w:val="en-US"/>
        </w:rPr>
        <w:t>Mery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B. Heinrich, F. </w:t>
      </w:r>
      <w:proofErr w:type="spellStart"/>
      <w:r w:rsidRPr="00797085">
        <w:rPr>
          <w:rFonts w:ascii="Calibri" w:cs="Calibri"/>
          <w:b w:val="0"/>
          <w:bCs/>
          <w:lang w:val="en-US"/>
        </w:rPr>
        <w:t>Mathevet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G. Izzet, </w:t>
      </w:r>
      <w:proofErr w:type="spellStart"/>
      <w:r w:rsidRPr="00797085">
        <w:rPr>
          <w:rFonts w:ascii="Calibri" w:cs="Calibri"/>
          <w:b w:val="0"/>
          <w:bCs/>
          <w:i/>
          <w:iCs/>
          <w:lang w:val="en-US"/>
        </w:rPr>
        <w:t>Angew</w:t>
      </w:r>
      <w:proofErr w:type="spellEnd"/>
      <w:r w:rsidRPr="00797085">
        <w:rPr>
          <w:rFonts w:ascii="Calibri" w:cs="Calibri"/>
          <w:b w:val="0"/>
          <w:bCs/>
          <w:i/>
          <w:iCs/>
          <w:lang w:val="en-US"/>
        </w:rPr>
        <w:t>. Chem.-Int. Ed.</w:t>
      </w:r>
      <w:r w:rsidRPr="00797085">
        <w:rPr>
          <w:rFonts w:ascii="Calibri" w:cs="Calibri"/>
          <w:b w:val="0"/>
          <w:bCs/>
          <w:lang w:val="en-US"/>
        </w:rPr>
        <w:t xml:space="preserve"> </w:t>
      </w:r>
      <w:r w:rsidR="003919CB" w:rsidRPr="003919CB">
        <w:rPr>
          <w:rFonts w:ascii="Calibri" w:cs="Calibri"/>
          <w:lang w:val="en-US"/>
        </w:rPr>
        <w:t>60</w:t>
      </w:r>
      <w:r w:rsidR="003919CB">
        <w:rPr>
          <w:rFonts w:ascii="Calibri" w:cs="Calibri"/>
          <w:b w:val="0"/>
          <w:bCs/>
          <w:lang w:val="en-US"/>
        </w:rPr>
        <w:t xml:space="preserve"> (</w:t>
      </w:r>
      <w:r w:rsidRPr="00797085">
        <w:rPr>
          <w:rFonts w:ascii="Calibri" w:cs="Calibri"/>
          <w:b w:val="0"/>
          <w:bCs/>
          <w:lang w:val="en-US"/>
        </w:rPr>
        <w:t>2021</w:t>
      </w:r>
      <w:r w:rsidR="003919CB">
        <w:rPr>
          <w:rFonts w:ascii="Calibri" w:cs="Calibri"/>
          <w:b w:val="0"/>
          <w:bCs/>
          <w:lang w:val="en-US"/>
        </w:rPr>
        <w:t xml:space="preserve">) </w:t>
      </w:r>
      <w:r w:rsidRPr="00797085">
        <w:rPr>
          <w:rFonts w:ascii="Calibri" w:cs="Calibri"/>
          <w:b w:val="0"/>
          <w:bCs/>
          <w:lang w:val="en-US"/>
        </w:rPr>
        <w:t>8419–8424</w:t>
      </w:r>
    </w:p>
    <w:p w14:paraId="01E9831E" w14:textId="49A069EE" w:rsidR="00797085" w:rsidRPr="00797085" w:rsidRDefault="00797085" w:rsidP="00797085">
      <w:pPr>
        <w:pStyle w:val="Bibliography"/>
        <w:rPr>
          <w:rFonts w:ascii="Calibri" w:cs="Calibri"/>
          <w:b w:val="0"/>
          <w:bCs/>
          <w:lang w:val="en-US"/>
        </w:rPr>
      </w:pPr>
      <w:r w:rsidRPr="00797085">
        <w:rPr>
          <w:rFonts w:ascii="Calibri" w:cs="Calibri"/>
          <w:b w:val="0"/>
          <w:bCs/>
          <w:lang w:val="en-US"/>
        </w:rPr>
        <w:t>[4]</w:t>
      </w:r>
      <w:r w:rsidRPr="00797085">
        <w:rPr>
          <w:rFonts w:ascii="Calibri" w:cs="Calibri"/>
          <w:b w:val="0"/>
          <w:bCs/>
          <w:lang w:val="en-US"/>
        </w:rPr>
        <w:tab/>
        <w:t xml:space="preserve">G. </w:t>
      </w:r>
      <w:proofErr w:type="spellStart"/>
      <w:r w:rsidRPr="00797085">
        <w:rPr>
          <w:rFonts w:ascii="Calibri" w:cs="Calibri"/>
          <w:b w:val="0"/>
          <w:bCs/>
          <w:lang w:val="en-US"/>
        </w:rPr>
        <w:t>Toupalas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J. Karlsson, F. A. Black, A. </w:t>
      </w:r>
      <w:proofErr w:type="spellStart"/>
      <w:r w:rsidRPr="00797085">
        <w:rPr>
          <w:rFonts w:ascii="Calibri" w:cs="Calibri"/>
          <w:b w:val="0"/>
          <w:bCs/>
          <w:lang w:val="en-US"/>
        </w:rPr>
        <w:t>Masip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-Sanchez, X. Lopez, Y. Ben </w:t>
      </w:r>
      <w:proofErr w:type="spellStart"/>
      <w:r w:rsidRPr="00797085">
        <w:rPr>
          <w:rFonts w:ascii="Calibri" w:cs="Calibri"/>
          <w:b w:val="0"/>
          <w:bCs/>
          <w:lang w:val="en-US"/>
        </w:rPr>
        <w:t>M’Barek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S. Blanchard, A. Proust, S. Alves, P. </w:t>
      </w:r>
      <w:proofErr w:type="spellStart"/>
      <w:r w:rsidRPr="00797085">
        <w:rPr>
          <w:rFonts w:ascii="Calibri" w:cs="Calibri"/>
          <w:b w:val="0"/>
          <w:bCs/>
          <w:lang w:val="en-US"/>
        </w:rPr>
        <w:t>Chabera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I. P. Clark, T. </w:t>
      </w:r>
      <w:proofErr w:type="spellStart"/>
      <w:r w:rsidRPr="00797085">
        <w:rPr>
          <w:rFonts w:ascii="Calibri" w:cs="Calibri"/>
          <w:b w:val="0"/>
          <w:bCs/>
          <w:lang w:val="en-US"/>
        </w:rPr>
        <w:t>Pullerits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J. M. </w:t>
      </w:r>
      <w:proofErr w:type="spellStart"/>
      <w:r w:rsidRPr="00797085">
        <w:rPr>
          <w:rFonts w:ascii="Calibri" w:cs="Calibri"/>
          <w:b w:val="0"/>
          <w:bCs/>
          <w:lang w:val="en-US"/>
        </w:rPr>
        <w:t>Poblet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E. A. Gibson, G. Izzet, </w:t>
      </w:r>
      <w:proofErr w:type="spellStart"/>
      <w:r w:rsidRPr="00797085">
        <w:rPr>
          <w:rFonts w:ascii="Calibri" w:cs="Calibri"/>
          <w:b w:val="0"/>
          <w:bCs/>
          <w:i/>
          <w:iCs/>
          <w:lang w:val="en-US"/>
        </w:rPr>
        <w:t>Angew</w:t>
      </w:r>
      <w:proofErr w:type="spellEnd"/>
      <w:r w:rsidRPr="00797085">
        <w:rPr>
          <w:rFonts w:ascii="Calibri" w:cs="Calibri"/>
          <w:b w:val="0"/>
          <w:bCs/>
          <w:i/>
          <w:iCs/>
          <w:lang w:val="en-US"/>
        </w:rPr>
        <w:t>. Chem.-Int. Ed.</w:t>
      </w:r>
      <w:r w:rsidRPr="00797085">
        <w:rPr>
          <w:rFonts w:ascii="Calibri" w:cs="Calibri"/>
          <w:b w:val="0"/>
          <w:bCs/>
          <w:lang w:val="en-US"/>
        </w:rPr>
        <w:t xml:space="preserve"> </w:t>
      </w:r>
      <w:r w:rsidR="004F6B20" w:rsidRPr="004F6B20">
        <w:rPr>
          <w:rFonts w:ascii="Calibri" w:cs="Calibri"/>
          <w:lang w:val="en-US"/>
        </w:rPr>
        <w:t>60</w:t>
      </w:r>
      <w:r w:rsidR="004F6B20">
        <w:rPr>
          <w:rFonts w:ascii="Calibri" w:cs="Calibri"/>
          <w:b w:val="0"/>
          <w:bCs/>
          <w:lang w:val="en-US"/>
        </w:rPr>
        <w:t xml:space="preserve"> (</w:t>
      </w:r>
      <w:r w:rsidRPr="00797085">
        <w:rPr>
          <w:rFonts w:ascii="Calibri" w:cs="Calibri"/>
          <w:b w:val="0"/>
          <w:bCs/>
          <w:lang w:val="en-US"/>
        </w:rPr>
        <w:t>2021</w:t>
      </w:r>
      <w:r w:rsidR="004F6B20">
        <w:rPr>
          <w:rFonts w:ascii="Calibri" w:cs="Calibri"/>
          <w:b w:val="0"/>
          <w:bCs/>
          <w:lang w:val="en-US"/>
        </w:rPr>
        <w:t>)</w:t>
      </w:r>
      <w:r w:rsidRPr="00797085">
        <w:rPr>
          <w:rFonts w:ascii="Calibri" w:cs="Calibri"/>
          <w:b w:val="0"/>
          <w:bCs/>
          <w:lang w:val="en-US"/>
        </w:rPr>
        <w:t xml:space="preserve"> 6518–6525</w:t>
      </w:r>
    </w:p>
    <w:p w14:paraId="5A34DB7E" w14:textId="40185212" w:rsidR="00BA0B0F" w:rsidRPr="00EF7710" w:rsidRDefault="00797085" w:rsidP="00EF7710">
      <w:pPr>
        <w:pStyle w:val="Bibliography"/>
        <w:rPr>
          <w:rFonts w:ascii="Calibri" w:cs="Calibri"/>
          <w:b w:val="0"/>
          <w:bCs/>
          <w:lang w:val="en-US"/>
        </w:rPr>
      </w:pPr>
      <w:r w:rsidRPr="00797085">
        <w:rPr>
          <w:rFonts w:ascii="Calibri" w:cs="Calibri"/>
          <w:b w:val="0"/>
          <w:bCs/>
          <w:lang w:val="en-US"/>
        </w:rPr>
        <w:t>[5]</w:t>
      </w:r>
      <w:r w:rsidRPr="00797085">
        <w:rPr>
          <w:rFonts w:ascii="Calibri" w:cs="Calibri"/>
          <w:b w:val="0"/>
          <w:bCs/>
          <w:lang w:val="en-US"/>
        </w:rPr>
        <w:tab/>
        <w:t xml:space="preserve">S. </w:t>
      </w:r>
      <w:proofErr w:type="spellStart"/>
      <w:r w:rsidRPr="00797085">
        <w:rPr>
          <w:rFonts w:ascii="Calibri" w:cs="Calibri"/>
          <w:b w:val="0"/>
          <w:bCs/>
          <w:lang w:val="en-US"/>
        </w:rPr>
        <w:t>Amthor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S. Knoll, M. </w:t>
      </w:r>
      <w:proofErr w:type="spellStart"/>
      <w:r w:rsidRPr="00797085">
        <w:rPr>
          <w:rFonts w:ascii="Calibri" w:cs="Calibri"/>
          <w:b w:val="0"/>
          <w:bCs/>
          <w:lang w:val="en-US"/>
        </w:rPr>
        <w:t>Heiland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L. </w:t>
      </w:r>
      <w:proofErr w:type="spellStart"/>
      <w:r w:rsidRPr="00797085">
        <w:rPr>
          <w:rFonts w:ascii="Calibri" w:cs="Calibri"/>
          <w:b w:val="0"/>
          <w:bCs/>
          <w:lang w:val="en-US"/>
        </w:rPr>
        <w:t>Zedler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C. Li, D. </w:t>
      </w:r>
      <w:proofErr w:type="spellStart"/>
      <w:r w:rsidRPr="00797085">
        <w:rPr>
          <w:rFonts w:ascii="Calibri" w:cs="Calibri"/>
          <w:b w:val="0"/>
          <w:bCs/>
          <w:lang w:val="en-US"/>
        </w:rPr>
        <w:t>Nauroozi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W. </w:t>
      </w:r>
      <w:proofErr w:type="spellStart"/>
      <w:r w:rsidRPr="00797085">
        <w:rPr>
          <w:rFonts w:ascii="Calibri" w:cs="Calibri"/>
          <w:b w:val="0"/>
          <w:bCs/>
          <w:lang w:val="en-US"/>
        </w:rPr>
        <w:t>Tobaschus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A. K. Mengele, M. </w:t>
      </w:r>
      <w:proofErr w:type="spellStart"/>
      <w:r w:rsidRPr="00797085">
        <w:rPr>
          <w:rFonts w:ascii="Calibri" w:cs="Calibri"/>
          <w:b w:val="0"/>
          <w:bCs/>
          <w:lang w:val="en-US"/>
        </w:rPr>
        <w:t>Anjass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U. S. Schubert, B. </w:t>
      </w:r>
      <w:proofErr w:type="spellStart"/>
      <w:r w:rsidRPr="00797085">
        <w:rPr>
          <w:rFonts w:ascii="Calibri" w:cs="Calibri"/>
          <w:b w:val="0"/>
          <w:bCs/>
          <w:lang w:val="en-US"/>
        </w:rPr>
        <w:t>Dietzek-Ivansic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S. Rau, C. </w:t>
      </w:r>
      <w:proofErr w:type="spellStart"/>
      <w:r w:rsidRPr="00797085">
        <w:rPr>
          <w:rFonts w:ascii="Calibri" w:cs="Calibri"/>
          <w:b w:val="0"/>
          <w:bCs/>
          <w:lang w:val="en-US"/>
        </w:rPr>
        <w:t>Streb</w:t>
      </w:r>
      <w:proofErr w:type="spellEnd"/>
      <w:r w:rsidRPr="00797085">
        <w:rPr>
          <w:rFonts w:ascii="Calibri" w:cs="Calibri"/>
          <w:b w:val="0"/>
          <w:bCs/>
          <w:lang w:val="en-US"/>
        </w:rPr>
        <w:t xml:space="preserve">, </w:t>
      </w:r>
      <w:r w:rsidRPr="00797085">
        <w:rPr>
          <w:rFonts w:ascii="Calibri" w:cs="Calibri"/>
          <w:b w:val="0"/>
          <w:bCs/>
          <w:i/>
          <w:iCs/>
          <w:lang w:val="en-US"/>
        </w:rPr>
        <w:t>Nat. Chem.</w:t>
      </w:r>
      <w:r w:rsidRPr="00797085">
        <w:rPr>
          <w:rFonts w:ascii="Calibri" w:cs="Calibri"/>
          <w:b w:val="0"/>
          <w:bCs/>
          <w:lang w:val="en-US"/>
        </w:rPr>
        <w:t xml:space="preserve"> </w:t>
      </w:r>
      <w:r w:rsidR="00EF7710" w:rsidRPr="001F74FE">
        <w:rPr>
          <w:rFonts w:ascii="Calibri" w:cs="Calibri"/>
          <w:lang w:val="en-US"/>
        </w:rPr>
        <w:t>14</w:t>
      </w:r>
      <w:r w:rsidR="00EF7710" w:rsidRPr="001F74FE">
        <w:rPr>
          <w:rFonts w:ascii="Calibri" w:cs="Calibri"/>
          <w:lang w:val="en-US"/>
        </w:rPr>
        <w:t xml:space="preserve"> </w:t>
      </w:r>
      <w:r w:rsidR="00EF7710" w:rsidRPr="001F74FE">
        <w:rPr>
          <w:rFonts w:ascii="Calibri" w:cs="Calibri"/>
          <w:b w:val="0"/>
          <w:bCs/>
          <w:lang w:val="en-US"/>
        </w:rPr>
        <w:t>(</w:t>
      </w:r>
      <w:r w:rsidR="00EF7710" w:rsidRPr="001F74FE">
        <w:rPr>
          <w:rFonts w:ascii="Calibri" w:cs="Calibri"/>
          <w:b w:val="0"/>
          <w:bCs/>
          <w:lang w:val="en-US"/>
        </w:rPr>
        <w:t>2022</w:t>
      </w:r>
      <w:r w:rsidR="00EF7710" w:rsidRPr="001F74FE">
        <w:rPr>
          <w:rFonts w:ascii="Calibri" w:cs="Calibri"/>
          <w:b w:val="0"/>
          <w:bCs/>
          <w:lang w:val="en-US"/>
        </w:rPr>
        <w:t>)</w:t>
      </w:r>
      <w:r w:rsidR="00EF7710" w:rsidRPr="001F74FE">
        <w:rPr>
          <w:rFonts w:ascii="Calibri" w:cs="Calibri"/>
          <w:lang w:val="en-US"/>
        </w:rPr>
        <w:t xml:space="preserve"> </w:t>
      </w:r>
      <w:r w:rsidR="00EF7710" w:rsidRPr="001F74FE">
        <w:rPr>
          <w:rFonts w:ascii="Calibri" w:cs="Calibri"/>
          <w:b w:val="0"/>
          <w:bCs/>
          <w:lang w:val="en-US"/>
        </w:rPr>
        <w:t>321</w:t>
      </w:r>
    </w:p>
    <w:sectPr w:rsidR="00BA0B0F" w:rsidRPr="00EF7710" w:rsidSect="002E5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A0CD" w14:textId="77777777" w:rsidR="00896D61" w:rsidRDefault="00896D61" w:rsidP="002E572F">
      <w:pPr>
        <w:spacing w:after="0" w:line="240" w:lineRule="auto"/>
      </w:pPr>
      <w:r>
        <w:separator/>
      </w:r>
    </w:p>
  </w:endnote>
  <w:endnote w:type="continuationSeparator" w:id="0">
    <w:p w14:paraId="1FA5C146" w14:textId="77777777" w:rsidR="00896D61" w:rsidRDefault="00896D61" w:rsidP="002E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DD68" w14:textId="77777777" w:rsidR="00812C92" w:rsidRDefault="00812C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665" w14:textId="77777777" w:rsidR="00812C92" w:rsidRDefault="00812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8377" w14:textId="77777777" w:rsidR="00812C92" w:rsidRDefault="00812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1B6C" w14:textId="77777777" w:rsidR="00896D61" w:rsidRDefault="00896D61" w:rsidP="002E572F">
      <w:pPr>
        <w:spacing w:after="0" w:line="240" w:lineRule="auto"/>
      </w:pPr>
      <w:r>
        <w:separator/>
      </w:r>
    </w:p>
  </w:footnote>
  <w:footnote w:type="continuationSeparator" w:id="0">
    <w:p w14:paraId="6A7F151F" w14:textId="77777777" w:rsidR="00896D61" w:rsidRDefault="00896D61" w:rsidP="002E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3E23" w14:textId="77777777" w:rsidR="00812C92" w:rsidRDefault="00812C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A58A" w14:textId="77777777" w:rsidR="002E572F" w:rsidRDefault="003E014F" w:rsidP="00741DF7">
    <w:pPr>
      <w:pStyle w:val="En-tte"/>
      <w:ind w:left="3119"/>
      <w:rPr>
        <w:b/>
        <w:sz w:val="28"/>
      </w:rPr>
    </w:pPr>
    <w:r w:rsidRPr="00EF339E">
      <w:rPr>
        <w:b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18BB8999" wp14:editId="6D9A677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924050" cy="682625"/>
          <wp:effectExtent l="0" t="0" r="0" b="317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01"/>
                  <a:stretch/>
                </pic:blipFill>
                <pic:spPr bwMode="auto">
                  <a:xfrm>
                    <a:off x="0" y="0"/>
                    <a:ext cx="1924050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39E" w:rsidRPr="00EF339E">
      <w:rPr>
        <w:b/>
        <w:sz w:val="28"/>
      </w:rPr>
      <w:t>SPIC 20</w:t>
    </w:r>
    <w:r w:rsidR="00812C92">
      <w:rPr>
        <w:b/>
        <w:sz w:val="28"/>
      </w:rPr>
      <w:t>22</w:t>
    </w:r>
    <w:r w:rsidR="00EF339E" w:rsidRPr="00EF339E">
      <w:rPr>
        <w:b/>
        <w:sz w:val="28"/>
      </w:rPr>
      <w:t xml:space="preserve"> : </w:t>
    </w:r>
    <w:r w:rsidR="00812C92">
      <w:rPr>
        <w:b/>
        <w:sz w:val="28"/>
      </w:rPr>
      <w:t>Quatrième</w:t>
    </w:r>
    <w:r w:rsidR="00EF339E" w:rsidRPr="00EF339E">
      <w:rPr>
        <w:b/>
        <w:sz w:val="28"/>
      </w:rPr>
      <w:t xml:space="preserve"> congrès nationa</w:t>
    </w:r>
    <w:r w:rsidR="00EF339E">
      <w:rPr>
        <w:b/>
        <w:sz w:val="28"/>
      </w:rPr>
      <w:t>l Sciences et Technologies des s</w:t>
    </w:r>
    <w:r w:rsidR="00EF339E" w:rsidRPr="00EF339E">
      <w:rPr>
        <w:b/>
        <w:sz w:val="28"/>
      </w:rPr>
      <w:t>ystèmes pi-conjugués</w:t>
    </w:r>
  </w:p>
  <w:p w14:paraId="331A70BB" w14:textId="77777777" w:rsidR="00EF339E" w:rsidRPr="00EF339E" w:rsidRDefault="00812C92" w:rsidP="00741DF7">
    <w:pPr>
      <w:pStyle w:val="En-tte"/>
      <w:ind w:left="3119"/>
      <w:rPr>
        <w:i/>
        <w:sz w:val="24"/>
      </w:rPr>
    </w:pPr>
    <w:r>
      <w:rPr>
        <w:i/>
        <w:sz w:val="24"/>
      </w:rPr>
      <w:t>5</w:t>
    </w:r>
    <w:r w:rsidR="00EF339E" w:rsidRPr="00EF339E">
      <w:rPr>
        <w:i/>
        <w:sz w:val="24"/>
      </w:rPr>
      <w:t>-</w:t>
    </w:r>
    <w:r>
      <w:rPr>
        <w:i/>
        <w:sz w:val="24"/>
      </w:rPr>
      <w:t>8</w:t>
    </w:r>
    <w:r w:rsidR="00EF339E" w:rsidRPr="00EF339E">
      <w:rPr>
        <w:i/>
        <w:sz w:val="24"/>
      </w:rPr>
      <w:t xml:space="preserve"> </w:t>
    </w:r>
    <w:r>
      <w:rPr>
        <w:i/>
        <w:sz w:val="24"/>
      </w:rPr>
      <w:t>déc</w:t>
    </w:r>
    <w:r w:rsidR="00EF339E" w:rsidRPr="00EF339E">
      <w:rPr>
        <w:i/>
        <w:sz w:val="24"/>
      </w:rPr>
      <w:t>. 20</w:t>
    </w:r>
    <w:r>
      <w:rPr>
        <w:i/>
        <w:sz w:val="24"/>
      </w:rPr>
      <w:t>22</w:t>
    </w:r>
    <w:r w:rsidR="00EF339E" w:rsidRPr="00EF339E">
      <w:rPr>
        <w:i/>
        <w:sz w:val="24"/>
      </w:rPr>
      <w:t xml:space="preserve">, </w:t>
    </w:r>
    <w:r>
      <w:rPr>
        <w:i/>
        <w:sz w:val="24"/>
      </w:rPr>
      <w:t>Saint Malo</w:t>
    </w:r>
    <w:r w:rsidR="00EF339E" w:rsidRPr="00EF339E">
      <w:rPr>
        <w:i/>
        <w:sz w:val="24"/>
      </w:rPr>
      <w:t xml:space="preserve"> </w:t>
    </w:r>
    <w:r>
      <w:rPr>
        <w:i/>
        <w:sz w:val="24"/>
      </w:rPr>
      <w:t>35407</w:t>
    </w:r>
    <w:r w:rsidR="00EF339E" w:rsidRPr="00EF339E">
      <w:rPr>
        <w:i/>
        <w:sz w:val="24"/>
      </w:rPr>
      <w:t xml:space="preserve"> (France)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7772" w14:textId="77777777" w:rsidR="00812C92" w:rsidRDefault="00812C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1391"/>
    <w:multiLevelType w:val="hybridMultilevel"/>
    <w:tmpl w:val="3064FAAA"/>
    <w:lvl w:ilvl="0" w:tplc="E2E4F2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F"/>
    <w:rsid w:val="000F6D27"/>
    <w:rsid w:val="00145A88"/>
    <w:rsid w:val="00195F77"/>
    <w:rsid w:val="001E4F9C"/>
    <w:rsid w:val="001F74FE"/>
    <w:rsid w:val="002464E8"/>
    <w:rsid w:val="002E572F"/>
    <w:rsid w:val="00384224"/>
    <w:rsid w:val="003919CB"/>
    <w:rsid w:val="003E014F"/>
    <w:rsid w:val="00420FF9"/>
    <w:rsid w:val="004F6B20"/>
    <w:rsid w:val="00592D5F"/>
    <w:rsid w:val="005F211E"/>
    <w:rsid w:val="00623927"/>
    <w:rsid w:val="00640C86"/>
    <w:rsid w:val="006548DB"/>
    <w:rsid w:val="007063DF"/>
    <w:rsid w:val="00741DF7"/>
    <w:rsid w:val="00775BAC"/>
    <w:rsid w:val="00797085"/>
    <w:rsid w:val="007A55BC"/>
    <w:rsid w:val="00812C92"/>
    <w:rsid w:val="00830480"/>
    <w:rsid w:val="0084239A"/>
    <w:rsid w:val="00862C7E"/>
    <w:rsid w:val="00896D61"/>
    <w:rsid w:val="008B4613"/>
    <w:rsid w:val="008B6440"/>
    <w:rsid w:val="008C54A9"/>
    <w:rsid w:val="008C5CCC"/>
    <w:rsid w:val="00922D93"/>
    <w:rsid w:val="00995BDE"/>
    <w:rsid w:val="009B7B14"/>
    <w:rsid w:val="00B00D12"/>
    <w:rsid w:val="00B4237E"/>
    <w:rsid w:val="00B53913"/>
    <w:rsid w:val="00B853CB"/>
    <w:rsid w:val="00BA0B0F"/>
    <w:rsid w:val="00C122CD"/>
    <w:rsid w:val="00C3073E"/>
    <w:rsid w:val="00C318B1"/>
    <w:rsid w:val="00CF7358"/>
    <w:rsid w:val="00D141EA"/>
    <w:rsid w:val="00D236CB"/>
    <w:rsid w:val="00D91C81"/>
    <w:rsid w:val="00DA362D"/>
    <w:rsid w:val="00DC585C"/>
    <w:rsid w:val="00EB7FEB"/>
    <w:rsid w:val="00EC19B8"/>
    <w:rsid w:val="00EF339E"/>
    <w:rsid w:val="00EF7710"/>
    <w:rsid w:val="00F7691C"/>
    <w:rsid w:val="00F8256A"/>
    <w:rsid w:val="00F901B5"/>
    <w:rsid w:val="00F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D29DA7"/>
  <w15:chartTrackingRefBased/>
  <w15:docId w15:val="{E76B4B5F-C1F3-47E7-AD44-0A29748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00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5B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72F"/>
  </w:style>
  <w:style w:type="paragraph" w:styleId="Pieddepage">
    <w:name w:val="footer"/>
    <w:basedOn w:val="Normal"/>
    <w:link w:val="PieddepageCar"/>
    <w:uiPriority w:val="99"/>
    <w:unhideWhenUsed/>
    <w:rsid w:val="002E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72F"/>
  </w:style>
  <w:style w:type="paragraph" w:styleId="Paragraphedeliste">
    <w:name w:val="List Paragraph"/>
    <w:basedOn w:val="Normal"/>
    <w:uiPriority w:val="34"/>
    <w:qFormat/>
    <w:rsid w:val="002E572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572F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2E572F"/>
    <w:rPr>
      <w:color w:val="2B579A"/>
      <w:shd w:val="clear" w:color="auto" w:fill="E6E6E6"/>
    </w:rPr>
  </w:style>
  <w:style w:type="paragraph" w:styleId="Lgende">
    <w:name w:val="caption"/>
    <w:basedOn w:val="Normal"/>
    <w:next w:val="Normal"/>
    <w:uiPriority w:val="35"/>
    <w:unhideWhenUsed/>
    <w:qFormat/>
    <w:rsid w:val="00BA0B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00D1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B00D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95B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ev">
    <w:name w:val="Strong"/>
    <w:basedOn w:val="Policepardfaut"/>
    <w:uiPriority w:val="22"/>
    <w:qFormat/>
    <w:rsid w:val="00995BDE"/>
    <w:rPr>
      <w:b/>
      <w:bCs/>
    </w:rPr>
  </w:style>
  <w:style w:type="paragraph" w:customStyle="1" w:styleId="Bibliography">
    <w:name w:val="Bibliography"/>
    <w:basedOn w:val="Normal"/>
    <w:link w:val="BibliographyCar"/>
    <w:rsid w:val="00797085"/>
    <w:pPr>
      <w:tabs>
        <w:tab w:val="left" w:pos="380"/>
      </w:tabs>
      <w:spacing w:after="0" w:line="240" w:lineRule="auto"/>
      <w:ind w:left="384" w:hanging="384"/>
      <w:jc w:val="both"/>
    </w:pPr>
    <w:rPr>
      <w:b/>
    </w:rPr>
  </w:style>
  <w:style w:type="character" w:customStyle="1" w:styleId="BibliographyCar">
    <w:name w:val="Bibliography Car"/>
    <w:basedOn w:val="Policepardfaut"/>
    <w:link w:val="Bibliography"/>
    <w:rsid w:val="007970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144B-C9A8-4464-AF70-3C68D931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Bouclé</dc:creator>
  <cp:keywords/>
  <dc:description/>
  <cp:lastModifiedBy>Microsoft Office User</cp:lastModifiedBy>
  <cp:revision>9</cp:revision>
  <cp:lastPrinted>2017-04-10T11:12:00Z</cp:lastPrinted>
  <dcterms:created xsi:type="dcterms:W3CDTF">2022-07-05T12:07:00Z</dcterms:created>
  <dcterms:modified xsi:type="dcterms:W3CDTF">2022-07-05T13:04:00Z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zotero-version="6.0.9"&gt;&lt;session id="0F80STHv"/&gt;&lt;style id="http://www.zotero.org/styles/angewandte-chemie"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